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9E2BD4" w:rsidP="000F6FF9">
      <w:pPr>
        <w:rPr>
          <w:b/>
          <w:sz w:val="28"/>
          <w:highlight w:val="yellow"/>
          <w:u w:val="single"/>
        </w:rPr>
      </w:pPr>
    </w:p>
    <w:p w:rsidR="00AC7177" w:rsidP="000F6FF9">
      <w:pPr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t>Medical Grand Rounds - RO 2018</w:t>
      </w:r>
    </w:p>
    <w:p w:rsidR="009E2BD4" w:rsidRPr="007221E6" w:rsidP="000F6FF9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t xml:space="preserve">CME Text Code: </w:t>
      </w:r>
      <w:r w:rsidR="005319A5">
        <w:rPr>
          <w:b/>
          <w:noProof/>
          <w:sz w:val="40"/>
          <w:szCs w:val="40"/>
          <w:u w:val="single"/>
        </w:rPr>
        <w:t>24435</w:t>
      </w:r>
    </w:p>
    <w:p w:rsidR="009E2BD4" w:rsidRPr="000F6FF9" w:rsidP="000F6FF9"/>
    <w:p w:rsidR="009E2BD4" w:rsidRPr="009E2BD4" w:rsidP="006530E1">
      <w:pPr>
        <w:spacing w:before="120"/>
        <w:rPr>
          <w:rFonts w:eastAsia="Times New Roman"/>
          <w:b/>
          <w:noProof/>
          <w:sz w:val="40"/>
          <w:szCs w:val="40"/>
        </w:rPr>
      </w:pPr>
      <w:r>
        <w:rPr>
          <w:rFonts w:eastAsia="Times New Roman"/>
          <w:b/>
          <w:noProof/>
          <w:sz w:val="40"/>
          <w:szCs w:val="40"/>
        </w:rPr>
        <w:fldChar w:fldCharType="begin"/>
      </w:r>
      <w:r>
        <w:rPr>
          <w:rFonts w:eastAsia="Times New Roman"/>
          <w:b/>
          <w:noProof/>
          <w:sz w:val="40"/>
          <w:szCs w:val="40"/>
        </w:rPr>
        <w:instrText xml:space="preserve"> MERGEFIELD EventStart </w:instrText>
      </w:r>
      <w:r>
        <w:rPr>
          <w:rFonts w:eastAsia="Times New Roman"/>
          <w:b/>
          <w:noProof/>
          <w:sz w:val="40"/>
          <w:szCs w:val="40"/>
        </w:rPr>
        <w:fldChar w:fldCharType="separate"/>
      </w:r>
      <w:r>
        <w:rPr>
          <w:rFonts w:eastAsia="Times New Roman"/>
          <w:b/>
          <w:noProof/>
          <w:sz w:val="40"/>
          <w:szCs w:val="40"/>
        </w:rPr>
        <w:t>«EventStart»</w:t>
      </w:r>
      <w:r>
        <w:rPr>
          <w:rFonts w:eastAsia="Times New Roman"/>
          <w:b/>
          <w:noProof/>
          <w:sz w:val="40"/>
          <w:szCs w:val="40"/>
        </w:rPr>
        <w:fldChar w:fldCharType="end"/>
      </w:r>
    </w:p>
    <w:p w:rsidR="009E2BD4" w:rsidRPr="009E2BD4" w:rsidP="009E2BD4">
      <w:pPr>
        <w:rPr>
          <w:rFonts w:eastAsia="Times New Roman"/>
          <w:b/>
          <w:noProof/>
          <w:sz w:val="20"/>
          <w:szCs w:val="20"/>
        </w:rPr>
      </w:pPr>
    </w:p>
    <w:p w:rsidR="00CC07EC" w:rsidP="000F6FF9">
      <w:pPr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12/12/2018 8:00:00 AM</w:t>
      </w:r>
      <w:r>
        <w:rPr>
          <w:b/>
          <w:bCs/>
          <w:noProof/>
          <w:color w:val="000000"/>
          <w:sz w:val="28"/>
          <w:szCs w:val="28"/>
        </w:rPr>
        <w:t>-</w:t>
      </w:r>
      <w:r>
        <w:rPr>
          <w:b/>
          <w:bCs/>
          <w:noProof/>
          <w:color w:val="000000"/>
          <w:sz w:val="28"/>
          <w:szCs w:val="28"/>
        </w:rPr>
        <w:t>12/12/2018 9:00:00 AM</w:t>
      </w:r>
    </w:p>
    <w:p w:rsidR="00CC07EC" w:rsidP="000F6FF9">
      <w:pPr>
        <w:rPr>
          <w:b/>
          <w:bCs/>
          <w:noProof/>
          <w:color w:val="000000"/>
          <w:sz w:val="28"/>
          <w:szCs w:val="28"/>
        </w:rPr>
      </w:pPr>
    </w:p>
    <w:p w:rsidR="009E2BD4" w:rsidP="000F6FF9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Medical Grand Rounds - RO 2018 - 12/12/2018</w:t>
      </w:r>
    </w:p>
    <w:p w:rsidR="005319A5" w:rsidP="000F6FF9">
      <w:pPr>
        <w:rPr>
          <w:b/>
          <w:bCs/>
          <w:sz w:val="32"/>
          <w:szCs w:val="32"/>
          <w:u w:val="single"/>
        </w:rPr>
      </w:pPr>
    </w:p>
    <w:p w:rsidR="00CC07EC" w:rsidP="000F6FF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Faculty:</w:t>
      </w:r>
    </w:p>
    <w:p w:rsidR="00CC07EC" w:rsidP="000F6FF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fldChar w:fldCharType="begin"/>
      </w:r>
      <w:r>
        <w:rPr>
          <w:b/>
          <w:bCs/>
          <w:sz w:val="32"/>
          <w:szCs w:val="32"/>
          <w:u w:val="single"/>
        </w:rPr>
        <w:instrText xml:space="preserve"> MERGEFIELD Faculty </w:instrText>
      </w:r>
      <w:r>
        <w:rPr>
          <w:b/>
          <w:bCs/>
          <w:sz w:val="32"/>
          <w:szCs w:val="32"/>
          <w:u w:val="single"/>
        </w:rPr>
        <w:fldChar w:fldCharType="separate"/>
      </w:r>
      <w:r>
        <w:rPr>
          <w:b/>
          <w:bCs/>
          <w:noProof/>
          <w:sz w:val="32"/>
          <w:szCs w:val="32"/>
          <w:u w:val="single"/>
        </w:rPr>
        <w:t>«Faculty»</w:t>
      </w:r>
      <w:r>
        <w:rPr>
          <w:b/>
          <w:bCs/>
          <w:sz w:val="32"/>
          <w:szCs w:val="32"/>
          <w:u w:val="single"/>
        </w:rPr>
        <w:fldChar w:fldCharType="end"/>
      </w:r>
    </w:p>
    <w:p w:rsidR="00CC07EC" w:rsidP="000F6FF9">
      <w:pPr>
        <w:rPr>
          <w:rFonts w:eastAsia="Times New Roman"/>
          <w:b/>
          <w:noProof/>
          <w:sz w:val="40"/>
          <w:szCs w:val="40"/>
        </w:rPr>
      </w:pPr>
      <w:r>
        <w:rPr>
          <w:rFonts w:eastAsia="Times New Roman"/>
          <w:b/>
          <w:noProof/>
          <w:sz w:val="40"/>
          <w:szCs w:val="40"/>
        </w:rPr>
        <w:fldChar w:fldCharType="begin"/>
      </w:r>
      <w:r>
        <w:rPr>
          <w:rFonts w:eastAsia="Times New Roman"/>
          <w:b/>
          <w:noProof/>
          <w:sz w:val="40"/>
          <w:szCs w:val="40"/>
        </w:rPr>
        <w:instrText xml:space="preserve"> MERGEFIELD  COI  \* MERGEFORMAT </w:instrText>
      </w:r>
      <w:r>
        <w:rPr>
          <w:rFonts w:eastAsia="Times New Roman"/>
          <w:b/>
          <w:noProof/>
          <w:sz w:val="40"/>
          <w:szCs w:val="40"/>
        </w:rPr>
        <w:fldChar w:fldCharType="separate"/>
      </w:r>
      <w:r>
        <w:rPr>
          <w:rFonts w:eastAsia="Times New Roman"/>
          <w:b/>
          <w:noProof/>
          <w:sz w:val="40"/>
          <w:szCs w:val="40"/>
        </w:rPr>
        <w:t>«COI»</w:t>
      </w:r>
      <w:r>
        <w:rPr>
          <w:rFonts w:eastAsia="Times New Roman"/>
          <w:b/>
          <w:noProof/>
          <w:sz w:val="40"/>
          <w:szCs w:val="40"/>
        </w:rPr>
        <w:fldChar w:fldCharType="end"/>
      </w:r>
    </w:p>
    <w:p w:rsidR="001E33BC" w:rsidP="000F6FF9">
      <w:pPr>
        <w:rPr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152"/>
      </w:tblGrid>
      <w:tr w:rsidTr="00AF2C7A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1637"/>
        </w:trPr>
        <w:tc>
          <w:tcPr>
            <w:tcW w:w="10152" w:type="dxa"/>
            <w:shd w:val="clear" w:color="auto" w:fill="auto"/>
          </w:tcPr>
          <w:p w:rsidR="00974610" w:rsidRPr="00583016" w:rsidP="00AF2C7A">
            <w:pPr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bCs/>
                <w:color w:val="000000"/>
                <w:sz w:val="40"/>
                <w:szCs w:val="40"/>
              </w:rPr>
            </w:pPr>
            <w:r w:rsidRPr="00583016">
              <w:rPr>
                <w:rFonts w:eastAsia="Times New Roman"/>
                <w:b/>
                <w:bCs/>
                <w:color w:val="000000"/>
                <w:sz w:val="40"/>
                <w:szCs w:val="40"/>
              </w:rPr>
              <w:t>**CLAIM CME CREDITS**</w:t>
            </w:r>
          </w:p>
          <w:p w:rsidR="00974610" w:rsidRPr="00583016" w:rsidP="00AF2C7A">
            <w:pPr>
              <w:pStyle w:val="BodyTextIndent3"/>
              <w:tabs>
                <w:tab w:val="clear" w:pos="360"/>
              </w:tabs>
              <w:spacing w:before="12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583016">
              <w:rPr>
                <w:rFonts w:cs="Arial"/>
                <w:b/>
                <w:color w:val="000000"/>
                <w:sz w:val="24"/>
                <w:szCs w:val="24"/>
              </w:rPr>
              <w:t>Via SMS Text Message: TEXT</w:t>
            </w:r>
            <w:r w:rsidRPr="0058301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319A5" w:rsidR="005319A5">
              <w:rPr>
                <w:rFonts w:cs="Arial"/>
                <w:b/>
                <w:color w:val="000000"/>
                <w:sz w:val="40"/>
                <w:szCs w:val="40"/>
              </w:rPr>
              <w:t>24435</w:t>
            </w:r>
            <w:r w:rsidRPr="00583016">
              <w:rPr>
                <w:rFonts w:cs="Arial"/>
                <w:color w:val="000000"/>
                <w:sz w:val="24"/>
                <w:szCs w:val="24"/>
              </w:rPr>
              <w:t xml:space="preserve"> to </w:t>
            </w:r>
            <w:r w:rsidRPr="00583016">
              <w:rPr>
                <w:rFonts w:cs="Arial"/>
                <w:b/>
                <w:color w:val="000000"/>
                <w:sz w:val="40"/>
                <w:szCs w:val="40"/>
              </w:rPr>
              <w:t>313</w:t>
            </w:r>
            <w:r w:rsidRPr="00583016">
              <w:rPr>
                <w:rFonts w:ascii="Cambria Math" w:hAnsi="Cambria Math" w:cs="Cambria Math"/>
                <w:b/>
                <w:color w:val="000000"/>
                <w:sz w:val="40"/>
                <w:szCs w:val="40"/>
              </w:rPr>
              <w:t>‐</w:t>
            </w:r>
            <w:r w:rsidRPr="00583016">
              <w:rPr>
                <w:rFonts w:cs="Arial"/>
                <w:b/>
                <w:color w:val="000000"/>
                <w:sz w:val="40"/>
                <w:szCs w:val="40"/>
              </w:rPr>
              <w:t>329</w:t>
            </w:r>
            <w:r w:rsidRPr="00583016">
              <w:rPr>
                <w:rFonts w:ascii="Cambria Math" w:hAnsi="Cambria Math" w:cs="Cambria Math"/>
                <w:b/>
                <w:color w:val="000000"/>
                <w:sz w:val="40"/>
                <w:szCs w:val="40"/>
              </w:rPr>
              <w:t>‐</w:t>
            </w:r>
            <w:r w:rsidRPr="00583016">
              <w:rPr>
                <w:rFonts w:cs="Arial"/>
                <w:b/>
                <w:color w:val="000000"/>
                <w:sz w:val="40"/>
                <w:szCs w:val="40"/>
              </w:rPr>
              <w:t>7050</w:t>
            </w:r>
            <w:r w:rsidRPr="00583016">
              <w:rPr>
                <w:rFonts w:cs="Arial"/>
                <w:color w:val="000000"/>
                <w:sz w:val="24"/>
                <w:szCs w:val="24"/>
              </w:rPr>
              <w:t xml:space="preserve"> within 1</w:t>
            </w:r>
            <w:r w:rsidR="00451E70">
              <w:rPr>
                <w:rFonts w:cs="Arial"/>
                <w:color w:val="000000"/>
                <w:sz w:val="24"/>
                <w:szCs w:val="24"/>
              </w:rPr>
              <w:t>2</w:t>
            </w:r>
            <w:r w:rsidRPr="00583016">
              <w:rPr>
                <w:rFonts w:cs="Arial"/>
                <w:color w:val="000000"/>
                <w:sz w:val="24"/>
                <w:szCs w:val="24"/>
              </w:rPr>
              <w:t xml:space="preserve"> hour</w:t>
            </w:r>
            <w:r w:rsidR="00451E70">
              <w:rPr>
                <w:rFonts w:cs="Arial"/>
                <w:color w:val="000000"/>
                <w:sz w:val="24"/>
                <w:szCs w:val="24"/>
              </w:rPr>
              <w:t>s</w:t>
            </w:r>
            <w:r w:rsidRPr="00583016">
              <w:rPr>
                <w:rFonts w:cs="Arial"/>
                <w:color w:val="000000"/>
                <w:sz w:val="24"/>
                <w:szCs w:val="24"/>
              </w:rPr>
              <w:t xml:space="preserve"> after the meeting – OR – </w:t>
            </w:r>
            <w:r w:rsidRPr="00583016">
              <w:rPr>
                <w:rFonts w:cs="Arial"/>
                <w:b/>
                <w:color w:val="000000"/>
                <w:sz w:val="24"/>
                <w:szCs w:val="24"/>
              </w:rPr>
              <w:t>ONLINE</w:t>
            </w:r>
            <w:r w:rsidRPr="00583016">
              <w:rPr>
                <w:rFonts w:cs="Arial"/>
                <w:color w:val="000000"/>
                <w:sz w:val="24"/>
                <w:szCs w:val="24"/>
              </w:rPr>
              <w:t xml:space="preserve"> at </w:t>
            </w:r>
            <w:r>
              <w:fldChar w:fldCharType="begin"/>
            </w:r>
            <w:r>
              <w:instrText xml:space="preserve"> HYPERLINK "https://beaumont.cloud-cme.com" </w:instrText>
            </w:r>
            <w:r>
              <w:fldChar w:fldCharType="separate"/>
            </w:r>
            <w:r w:rsidRPr="006C743A">
              <w:rPr>
                <w:rStyle w:val="Hyperlink"/>
                <w:rFonts w:cs="Arial"/>
                <w:sz w:val="24"/>
                <w:szCs w:val="24"/>
              </w:rPr>
              <w:t>https://beaumont.cloud-cme.com</w:t>
            </w:r>
            <w:r>
              <w:fldChar w:fldCharType="end"/>
            </w:r>
            <w:r>
              <w:rPr>
                <w:rFonts w:cs="Arial"/>
                <w:color w:val="0563C2"/>
                <w:sz w:val="24"/>
                <w:szCs w:val="24"/>
              </w:rPr>
              <w:t xml:space="preserve">. </w:t>
            </w:r>
          </w:p>
        </w:tc>
      </w:tr>
    </w:tbl>
    <w:p w:rsidR="005319A5" w:rsidP="005319A5">
      <w:pPr>
        <w:pStyle w:val="Title"/>
        <w:spacing w:before="120" w:after="120"/>
        <w:rPr>
          <w:rFonts w:cs="Arial"/>
          <w:b/>
          <w:sz w:val="26"/>
          <w:szCs w:val="26"/>
        </w:rPr>
      </w:pPr>
    </w:p>
    <w:p w:rsidR="005319A5" w:rsidP="005319A5">
      <w:pPr>
        <w:pStyle w:val="Title"/>
        <w:spacing w:before="120" w:after="120"/>
        <w:rPr>
          <w:rFonts w:cs="Arial"/>
          <w:b/>
          <w:sz w:val="26"/>
          <w:szCs w:val="26"/>
        </w:rPr>
      </w:pPr>
    </w:p>
    <w:p w:rsidR="005319A5" w:rsidRPr="006530E1" w:rsidP="005319A5">
      <w:pPr>
        <w:pStyle w:val="Title"/>
        <w:spacing w:before="120" w:after="120"/>
        <w:rPr>
          <w:rFonts w:cs="Arial"/>
          <w:b/>
          <w:sz w:val="26"/>
          <w:szCs w:val="26"/>
        </w:rPr>
      </w:pPr>
      <w:r w:rsidRPr="006530E1">
        <w:rPr>
          <w:rFonts w:cs="Arial"/>
          <w:b/>
          <w:sz w:val="26"/>
          <w:szCs w:val="26"/>
        </w:rPr>
        <w:t>CME INFORMATION</w:t>
      </w:r>
    </w:p>
    <w:p w:rsidR="001E33BC" w:rsidP="005319A5">
      <w:pPr>
        <w:jc w:val="left"/>
        <w:rPr>
          <w:bCs/>
        </w:rPr>
      </w:pPr>
      <w:r w:rsidRPr="006E6E61">
        <w:rPr>
          <w:b/>
          <w:bCs/>
          <w:u w:val="single"/>
        </w:rPr>
        <w:t>Disclosures:</w:t>
      </w:r>
      <w:r>
        <w:rPr>
          <w:bCs/>
        </w:rPr>
        <w:t xml:space="preserve"> </w:t>
      </w:r>
      <w:r>
        <w:rPr>
          <w:bCs/>
          <w:noProof/>
        </w:rPr>
        <w:t xml:space="preserve">Cappell, </w:t>
      </w:r>
      <w:r>
        <w:rPr>
          <w:bCs/>
        </w:rPr>
        <w:t>Mitchell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Carpenter, Christopher (Faculty Planner) : Consultant/Advisor-Aradigm</w:t>
      </w:r>
    </w:p>
    <w:p w:rsidR="001E33BC" w:rsidP="005319A5">
      <w:pPr>
        <w:jc w:val="left"/>
        <w:rPr>
          <w:bCs/>
        </w:rPr>
      </w:pPr>
      <w:r>
        <w:rPr>
          <w:bCs/>
        </w:rPr>
        <w:t>Chmielewski, Angela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Dixon, Simon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Farhat, Ali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Halalau, Alexandra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Imam, Khaled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Jaiyesimi, Ishmael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Kellerman, Paul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Lauter, Carl (Faculty Planner) : Consultant/Advisor-Magellan Health|Consultant/Advisor-Best Doctors,Inc|Consultant/Advisor-Blue Care Network</w:t>
      </w:r>
    </w:p>
    <w:p w:rsidR="001E33BC" w:rsidP="005319A5">
      <w:pPr>
        <w:jc w:val="left"/>
        <w:rPr>
          <w:bCs/>
        </w:rPr>
      </w:pPr>
      <w:r>
        <w:rPr>
          <w:bCs/>
        </w:rPr>
        <w:t>Maddens, Michael 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Menkes, Daniel (Faculty Planner) : Consultant/Advisor-Neurotron, Inc.</w:t>
      </w:r>
    </w:p>
    <w:p w:rsidR="001E33BC" w:rsidP="005319A5">
      <w:pPr>
        <w:jc w:val="left"/>
        <w:rPr>
          <w:bCs/>
        </w:rPr>
      </w:pPr>
      <w:r>
        <w:rPr>
          <w:bCs/>
        </w:rPr>
        <w:t>Miller, Wendy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Ospina, Luis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Reitemeier, Paul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Rosenbaum, Lewis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Samarian, Ron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Sherman, Stanley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Shoichet, Sandor (Faculty Planner) : Nothing to disclose</w:t>
      </w:r>
    </w:p>
    <w:p w:rsidR="001E33BC" w:rsidP="005319A5">
      <w:pPr>
        <w:jc w:val="left"/>
        <w:rPr>
          <w:bCs/>
        </w:rPr>
      </w:pPr>
      <w:r>
        <w:rPr>
          <w:bCs/>
        </w:rPr>
        <w:t>Skender, Joseph (Faculty Planner) : Nothing to disclose</w:t>
      </w:r>
    </w:p>
    <w:p w:rsidR="001E33BC" w:rsidP="005319A5">
      <w:pPr>
        <w:jc w:val="left"/>
        <w:rPr>
          <w:bCs/>
        </w:rPr>
      </w:pPr>
    </w:p>
    <w:p w:rsidR="005319A5" w:rsidP="005319A5">
      <w:pPr>
        <w:jc w:val="left"/>
        <w:rPr>
          <w:bCs/>
        </w:rPr>
      </w:pPr>
      <w:bookmarkStart w:id="0" w:name="_GoBack"/>
      <w:bookmarkEnd w:id="0"/>
      <w:r>
        <w:rPr>
          <w:bCs/>
        </w:rPr>
        <w:t>Nothing to disclose</w:t>
      </w:r>
    </w:p>
    <w:p w:rsidR="005319A5" w:rsidRPr="0066629E" w:rsidP="005319A5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Beaumont Health </w:t>
      </w:r>
      <w:r w:rsidRPr="0066629E">
        <w:rPr>
          <w:color w:val="000000"/>
          <w:sz w:val="16"/>
          <w:szCs w:val="16"/>
        </w:rPr>
        <w:t>implemented mechanisms to identify and resolve conflicts of interest for all individuals in a position to control content of this CME activity.</w:t>
      </w:r>
      <w:r>
        <w:rPr>
          <w:color w:val="000000"/>
          <w:sz w:val="16"/>
          <w:szCs w:val="16"/>
        </w:rPr>
        <w:t xml:space="preserve">  All CME staff and content reviewers have no relevant financial relationships with commercial interests to disclose.</w:t>
      </w:r>
    </w:p>
    <w:p w:rsidR="005319A5" w:rsidP="005319A5">
      <w:pPr>
        <w:jc w:val="left"/>
        <w:rPr>
          <w:bCs/>
        </w:rPr>
      </w:pPr>
    </w:p>
    <w:p w:rsidR="005319A5" w:rsidP="005319A5">
      <w:pPr>
        <w:jc w:val="left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Educational Objectives</w:t>
      </w:r>
      <w:r>
        <w:rPr>
          <w:bCs/>
          <w:sz w:val="20"/>
          <w:szCs w:val="20"/>
        </w:rPr>
        <w:t xml:space="preserve">: Those participating in this series should be better able to: </w:t>
      </w:r>
    </w:p>
    <w:p w:rsidR="005319A5" w:rsidP="005319A5">
      <w:pPr>
        <w:jc w:val="left"/>
        <w:rPr>
          <w:bCs/>
          <w:sz w:val="20"/>
          <w:szCs w:val="20"/>
        </w:rPr>
      </w:pPr>
    </w:p>
    <w:p w:rsidR="005319A5" w:rsidRPr="009E2BD4" w:rsidP="005319A5">
      <w:pPr>
        <w:jc w:val="both"/>
        <w:rPr>
          <w:b/>
          <w:bCs/>
          <w:sz w:val="20"/>
          <w:szCs w:val="20"/>
          <w:u w:val="single"/>
        </w:rPr>
      </w:pPr>
      <w:r w:rsidRPr="009E2BD4">
        <w:rPr>
          <w:b/>
          <w:bCs/>
          <w:sz w:val="20"/>
          <w:szCs w:val="20"/>
          <w:u w:val="single"/>
        </w:rPr>
        <w:t>ACCREDITATION and CREDIT DESIGNATION:</w:t>
      </w:r>
    </w:p>
    <w:p w:rsidR="005319A5" w:rsidRPr="009E2BD4" w:rsidP="005319A5">
      <w:pPr>
        <w:pStyle w:val="BodyTextIndent3"/>
        <w:tabs>
          <w:tab w:val="clear" w:pos="360"/>
        </w:tabs>
        <w:ind w:left="0"/>
        <w:rPr>
          <w:rFonts w:cs="Arial"/>
        </w:rPr>
      </w:pPr>
      <w:r>
        <w:rPr>
          <w:rFonts w:cs="Arial"/>
        </w:rPr>
        <w:t xml:space="preserve">Beaumont Health </w:t>
      </w:r>
      <w:r w:rsidRPr="009E2BD4">
        <w:rPr>
          <w:rFonts w:cs="Arial"/>
        </w:rPr>
        <w:t xml:space="preserve">is accredited by the Accreditation Council for Continuing Medical Education (ACCME) to provide continuing medical education for physicians.  </w:t>
      </w:r>
    </w:p>
    <w:p w:rsidR="005319A5" w:rsidP="005319A5">
      <w:pPr>
        <w:pStyle w:val="BodyTextIndent3"/>
        <w:tabs>
          <w:tab w:val="clear" w:pos="360"/>
        </w:tabs>
        <w:spacing w:before="120"/>
        <w:ind w:left="0"/>
      </w:pPr>
      <w:r>
        <w:t xml:space="preserve">Beaumont Health </w:t>
      </w:r>
      <w:r w:rsidRPr="009E2BD4">
        <w:t xml:space="preserve">designates this live activity for a maximum of </w:t>
      </w:r>
      <w:r w:rsidR="001E33BC">
        <w:t>1.00</w:t>
      </w:r>
      <w:r w:rsidRPr="007221E6">
        <w:t xml:space="preserve"> </w:t>
      </w:r>
      <w:r w:rsidRPr="007221E6">
        <w:rPr>
          <w:i/>
          <w:iCs/>
        </w:rPr>
        <w:t>AMA PRA Category 1 Credit(s)</w:t>
      </w:r>
      <w:r w:rsidRPr="007221E6">
        <w:rPr>
          <w:rFonts w:ascii="Symbol" w:hAnsi="Symbol"/>
          <w:i/>
          <w:iCs/>
        </w:rPr>
        <w:sym w:font="Symbol" w:char="F0E4"/>
      </w:r>
      <w:r w:rsidRPr="007221E6">
        <w:t xml:space="preserve">. Physicians should claim only the credit commensurate with the extent of </w:t>
      </w:r>
      <w:r w:rsidRPr="009E2BD4">
        <w:t>their participation in the activity.</w:t>
      </w:r>
    </w:p>
    <w:p w:rsidR="005319A5" w:rsidP="005319A5">
      <w:pPr>
        <w:pStyle w:val="Footer"/>
        <w:jc w:val="both"/>
        <w:rPr>
          <w:sz w:val="2"/>
          <w:szCs w:val="2"/>
        </w:rPr>
      </w:pPr>
    </w:p>
    <w:p w:rsidR="005319A5" w:rsidP="005319A5">
      <w:pPr>
        <w:pStyle w:val="Footer"/>
        <w:jc w:val="both"/>
        <w:rPr>
          <w:sz w:val="2"/>
          <w:szCs w:val="2"/>
        </w:rPr>
      </w:pPr>
    </w:p>
    <w:p w:rsidR="00974610" w:rsidRPr="00A04D5B" w:rsidP="00974610">
      <w:pPr>
        <w:jc w:val="both"/>
        <w:rPr>
          <w:sz w:val="2"/>
          <w:szCs w:val="2"/>
        </w:rPr>
      </w:pPr>
    </w:p>
    <w:sectPr w:rsidSect="00A21ACF">
      <w:headerReference w:type="default" r:id="rId5"/>
      <w:footerReference w:type="default" r:id="rId6"/>
      <w:type w:val="continuous"/>
      <w:pgSz w:w="12240" w:h="15840"/>
      <w:pgMar w:top="1152" w:right="1152" w:bottom="1152" w:left="1152" w:header="720" w:footer="720" w:gutter="0"/>
      <w:pgBorders w:offsetFrom="page">
        <w:top w:val="thinThickSmallGap" w:sz="24" w:space="24" w:color="003594"/>
        <w:left w:val="thinThickSmallGap" w:sz="24" w:space="24" w:color="003594"/>
        <w:bottom w:val="thickThinSmallGap" w:sz="24" w:space="24" w:color="003594"/>
        <w:right w:val="thickThinSmallGap" w:sz="24" w:space="24" w:color="00359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616" w:rsidRPr="005319A5" w:rsidP="005319A5">
    <w:pPr>
      <w:pStyle w:val="Footer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616" w:rsidP="00A21ACF">
    <w:pPr>
      <w:pStyle w:val="Header"/>
      <w:spacing w:after="240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3.4pt;width:150.55pt">
          <v:imagedata r:id="rId1" o:title="Beaumont_blue-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C356E6"/>
    <w:multiLevelType w:val="hybridMultilevel"/>
    <w:tmpl w:val="EA8A7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A260F"/>
    <w:multiLevelType w:val="hybridMultilevel"/>
    <w:tmpl w:val="0FAC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0013E"/>
    <w:multiLevelType w:val="hybridMultilevel"/>
    <w:tmpl w:val="8A2ADE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1E6855"/>
    <w:multiLevelType w:val="hybridMultilevel"/>
    <w:tmpl w:val="E1761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91720"/>
    <w:multiLevelType w:val="hybridMultilevel"/>
    <w:tmpl w:val="BC384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1109B"/>
    <w:multiLevelType w:val="hybridMultilevel"/>
    <w:tmpl w:val="6122C96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ocumentProtection w:edit="comments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F6FF9"/>
    <w:pPr>
      <w:keepNext/>
      <w:outlineLvl w:val="1"/>
    </w:pPr>
    <w:rPr>
      <w:rFonts w:eastAsia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6FF9"/>
    <w:rPr>
      <w:rFonts w:eastAsia="Times New Roman" w:cs="Times New Roman"/>
      <w:sz w:val="40"/>
    </w:rPr>
  </w:style>
  <w:style w:type="paragraph" w:styleId="Title">
    <w:name w:val="Title"/>
    <w:basedOn w:val="Normal"/>
    <w:link w:val="TitleChar"/>
    <w:qFormat/>
    <w:rsid w:val="000F6FF9"/>
    <w:rPr>
      <w:rFonts w:eastAsia="Times New Roman" w:cs="Times New Roman"/>
      <w:sz w:val="28"/>
      <w:szCs w:val="20"/>
    </w:rPr>
  </w:style>
  <w:style w:type="character" w:customStyle="1" w:styleId="TitleChar">
    <w:name w:val="Title Char"/>
    <w:link w:val="Title"/>
    <w:rsid w:val="000F6FF9"/>
    <w:rPr>
      <w:rFonts w:eastAsia="Times New Roman" w:cs="Times New Roman"/>
      <w:sz w:val="28"/>
    </w:rPr>
  </w:style>
  <w:style w:type="paragraph" w:styleId="BodyTextIndent3">
    <w:name w:val="Body Text Indent 3"/>
    <w:basedOn w:val="Normal"/>
    <w:link w:val="BodyTextIndent3Char"/>
    <w:rsid w:val="000F6FF9"/>
    <w:pPr>
      <w:tabs>
        <w:tab w:val="left" w:pos="360"/>
      </w:tabs>
      <w:ind w:left="360"/>
      <w:jc w:val="both"/>
    </w:pPr>
    <w:rPr>
      <w:rFonts w:eastAsia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0F6FF9"/>
    <w:rPr>
      <w:rFonts w:eastAsia="Times New Roman" w:cs="Times New Roman"/>
    </w:rPr>
  </w:style>
  <w:style w:type="table" w:styleId="TableGrid">
    <w:name w:val="Table Grid"/>
    <w:basedOn w:val="TableNormal"/>
    <w:rsid w:val="000F6FF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F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F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6F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FF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B3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7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7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37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7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1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6019-1763-41B4-92FC-D68CDB6F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Taylor</dc:creator>
  <cp:lastModifiedBy>Brooke Taylor</cp:lastModifiedBy>
  <cp:revision>3</cp:revision>
  <dcterms:created xsi:type="dcterms:W3CDTF">2018-10-25T21:28:00Z</dcterms:created>
  <dcterms:modified xsi:type="dcterms:W3CDTF">2018-10-26T15:49:00Z</dcterms:modified>
</cp:coreProperties>
</file>